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A335E"/>
  <w:body>
    <w:p w:rsidR="00000544" w:rsidRDefault="00A457B7">
      <w:pPr>
        <w:spacing w:line="240" w:lineRule="auto"/>
        <w:rPr>
          <w:rFonts w:ascii="Montserrat Medium" w:eastAsia="Montserrat Medium" w:hAnsi="Montserrat Medium" w:cs="Montserrat Medium"/>
          <w:color w:val="FFFFFF"/>
          <w:sz w:val="20"/>
          <w:szCs w:val="20"/>
        </w:rPr>
      </w:pPr>
      <w:r>
        <w:rPr>
          <w:noProof/>
        </w:rPr>
        <w:drawing>
          <wp:anchor distT="114300" distB="114300" distL="114300" distR="114300" simplePos="0" relativeHeight="251658240" behindDoc="0" locked="0" layoutInCell="1" hidden="0" allowOverlap="1">
            <wp:simplePos x="0" y="0"/>
            <wp:positionH relativeFrom="column">
              <wp:posOffset>-219074</wp:posOffset>
            </wp:positionH>
            <wp:positionV relativeFrom="paragraph">
              <wp:posOffset>161925</wp:posOffset>
            </wp:positionV>
            <wp:extent cx="933361" cy="896027"/>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8450" t="9859" r="7042" b="8450"/>
                    <a:stretch>
                      <a:fillRect/>
                    </a:stretch>
                  </pic:blipFill>
                  <pic:spPr>
                    <a:xfrm>
                      <a:off x="0" y="0"/>
                      <a:ext cx="933361" cy="896027"/>
                    </a:xfrm>
                    <a:prstGeom prst="rect">
                      <a:avLst/>
                    </a:prstGeom>
                    <a:ln/>
                  </pic:spPr>
                </pic:pic>
              </a:graphicData>
            </a:graphic>
          </wp:anchor>
        </w:drawing>
      </w:r>
    </w:p>
    <w:p w:rsidR="00000544" w:rsidRDefault="00A457B7">
      <w:pPr>
        <w:spacing w:before="200"/>
        <w:jc w:val="center"/>
        <w:rPr>
          <w:rFonts w:ascii="Bebas Neue" w:eastAsia="Bebas Neue" w:hAnsi="Bebas Neue" w:cs="Bebas Neue"/>
          <w:color w:val="FFFFFF"/>
          <w:sz w:val="48"/>
          <w:szCs w:val="48"/>
        </w:rPr>
      </w:pPr>
      <w:r>
        <w:rPr>
          <w:rFonts w:ascii="Bebas Neue" w:eastAsia="Bebas Neue" w:hAnsi="Bebas Neue" w:cs="Bebas Neue"/>
          <w:color w:val="FFFFFF"/>
          <w:sz w:val="48"/>
          <w:szCs w:val="48"/>
        </w:rPr>
        <w:t xml:space="preserve">Language and social class in </w:t>
      </w:r>
      <w:r w:rsidR="006F6C46">
        <w:rPr>
          <w:rFonts w:ascii="Bebas Neue" w:eastAsia="Bebas Neue" w:hAnsi="Bebas Neue" w:cs="Bebas Neue"/>
          <w:color w:val="FFFFFF"/>
          <w:sz w:val="48"/>
          <w:szCs w:val="48"/>
        </w:rPr>
        <w:t>Sulaymaniyah</w:t>
      </w:r>
      <w:bookmarkStart w:id="0" w:name="_GoBack"/>
      <w:bookmarkEnd w:id="0"/>
      <w:r>
        <w:rPr>
          <w:rFonts w:ascii="Bebas Neue" w:eastAsia="Bebas Neue" w:hAnsi="Bebas Neue" w:cs="Bebas Neue"/>
          <w:color w:val="FFFFFF"/>
          <w:sz w:val="48"/>
          <w:szCs w:val="48"/>
        </w:rPr>
        <w:t xml:space="preserve"> city</w:t>
      </w:r>
    </w:p>
    <w:p w:rsidR="00000544" w:rsidRDefault="00A457B7">
      <w:pPr>
        <w:widowControl w:val="0"/>
        <w:jc w:val="center"/>
        <w:rPr>
          <w:rFonts w:ascii="Montserrat Medium" w:eastAsia="Montserrat Medium" w:hAnsi="Montserrat Medium" w:cs="Montserrat Medium"/>
          <w:color w:val="FFFFFF"/>
        </w:rPr>
      </w:pPr>
      <w:r>
        <w:rPr>
          <w:rFonts w:ascii="Montserrat Medium" w:eastAsia="Montserrat Medium" w:hAnsi="Montserrat Medium" w:cs="Montserrat Medium"/>
          <w:color w:val="FFFFFF"/>
        </w:rPr>
        <w:t>Student name: Student names here</w:t>
      </w:r>
    </w:p>
    <w:p w:rsidR="00000544" w:rsidRDefault="00A457B7">
      <w:pPr>
        <w:widowControl w:val="0"/>
        <w:jc w:val="center"/>
        <w:rPr>
          <w:rFonts w:ascii="Montserrat Medium" w:eastAsia="Montserrat Medium" w:hAnsi="Montserrat Medium" w:cs="Montserrat Medium"/>
          <w:color w:val="FFFFFF"/>
          <w:sz w:val="14"/>
          <w:szCs w:val="14"/>
        </w:rPr>
      </w:pPr>
      <w:r>
        <w:rPr>
          <w:rFonts w:ascii="Montserrat Medium" w:eastAsia="Montserrat Medium" w:hAnsi="Montserrat Medium" w:cs="Montserrat Medium"/>
          <w:color w:val="FFFFFF"/>
        </w:rPr>
        <w:t>Supervisor: Dr. name here        Department: Name</w:t>
      </w:r>
    </w:p>
    <w:tbl>
      <w:tblPr>
        <w:tblStyle w:val="a"/>
        <w:tblpPr w:leftFromText="180" w:rightFromText="180" w:topFromText="180" w:bottomFromText="180" w:vertAnchor="text" w:tblpX="-495"/>
        <w:tblW w:w="11490" w:type="dxa"/>
        <w:tblBorders>
          <w:top w:val="single" w:sz="48" w:space="0" w:color="005085"/>
          <w:left w:val="single" w:sz="48" w:space="0" w:color="005085"/>
          <w:bottom w:val="single" w:sz="48" w:space="0" w:color="005085"/>
          <w:right w:val="single" w:sz="48" w:space="0" w:color="005085"/>
          <w:insideH w:val="single" w:sz="48" w:space="0" w:color="005085"/>
          <w:insideV w:val="single" w:sz="48" w:space="0" w:color="005085"/>
        </w:tblBorders>
        <w:tblLayout w:type="fixed"/>
        <w:tblLook w:val="0600" w:firstRow="0" w:lastRow="0" w:firstColumn="0" w:lastColumn="0" w:noHBand="1" w:noVBand="1"/>
      </w:tblPr>
      <w:tblGrid>
        <w:gridCol w:w="3840"/>
        <w:gridCol w:w="3810"/>
        <w:gridCol w:w="3840"/>
      </w:tblGrid>
      <w:tr w:rsidR="00000544">
        <w:trPr>
          <w:trHeight w:val="607"/>
        </w:trPr>
        <w:tc>
          <w:tcPr>
            <w:tcW w:w="3840" w:type="dxa"/>
            <w:tcBorders>
              <w:top w:val="single" w:sz="48" w:space="0" w:color="1A335E"/>
              <w:left w:val="single" w:sz="48" w:space="0" w:color="1A335E"/>
              <w:bottom w:val="single" w:sz="48" w:space="0" w:color="1A335E"/>
              <w:right w:val="single" w:sz="48" w:space="0" w:color="1A335E"/>
            </w:tcBorders>
            <w:shd w:val="clear" w:color="auto" w:fill="D9D9D9"/>
            <w:tcMar>
              <w:top w:w="0" w:type="dxa"/>
              <w:left w:w="0" w:type="dxa"/>
              <w:bottom w:w="0" w:type="dxa"/>
              <w:right w:w="0" w:type="dxa"/>
            </w:tcMar>
            <w:vAlign w:val="center"/>
          </w:tcPr>
          <w:p w:rsidR="00000544" w:rsidRDefault="00A457B7">
            <w:pPr>
              <w:widowControl w:val="0"/>
              <w:spacing w:line="240" w:lineRule="auto"/>
              <w:jc w:val="center"/>
              <w:rPr>
                <w:rFonts w:ascii="Montserrat Medium" w:eastAsia="Montserrat Medium" w:hAnsi="Montserrat Medium" w:cs="Montserrat Medium"/>
                <w:color w:val="1A335E"/>
                <w:sz w:val="20"/>
                <w:szCs w:val="20"/>
              </w:rPr>
            </w:pPr>
            <w:r>
              <w:rPr>
                <w:rFonts w:ascii="Montserrat" w:eastAsia="Montserrat" w:hAnsi="Montserrat" w:cs="Montserrat"/>
                <w:b/>
                <w:color w:val="1A335E"/>
                <w:sz w:val="24"/>
                <w:szCs w:val="24"/>
              </w:rPr>
              <w:t>Introduction</w:t>
            </w:r>
          </w:p>
        </w:tc>
        <w:tc>
          <w:tcPr>
            <w:tcW w:w="3810" w:type="dxa"/>
            <w:tcBorders>
              <w:top w:val="single" w:sz="48" w:space="0" w:color="1A335E"/>
              <w:left w:val="single" w:sz="48" w:space="0" w:color="1A335E"/>
              <w:bottom w:val="single" w:sz="48" w:space="0" w:color="1A335E"/>
              <w:right w:val="single" w:sz="48" w:space="0" w:color="1A335E"/>
            </w:tcBorders>
            <w:shd w:val="clear" w:color="auto" w:fill="D9D9D9"/>
            <w:tcMar>
              <w:top w:w="0" w:type="dxa"/>
              <w:left w:w="0" w:type="dxa"/>
              <w:bottom w:w="0" w:type="dxa"/>
              <w:right w:w="0" w:type="dxa"/>
            </w:tcMar>
            <w:vAlign w:val="center"/>
          </w:tcPr>
          <w:p w:rsidR="00000544" w:rsidRDefault="00A457B7">
            <w:pPr>
              <w:widowControl w:val="0"/>
              <w:spacing w:line="240" w:lineRule="auto"/>
              <w:jc w:val="center"/>
              <w:rPr>
                <w:rFonts w:ascii="Montserrat Medium" w:eastAsia="Montserrat Medium" w:hAnsi="Montserrat Medium" w:cs="Montserrat Medium"/>
                <w:color w:val="1A335E"/>
                <w:sz w:val="20"/>
                <w:szCs w:val="20"/>
              </w:rPr>
            </w:pPr>
            <w:r>
              <w:rPr>
                <w:rFonts w:ascii="Montserrat" w:eastAsia="Montserrat" w:hAnsi="Montserrat" w:cs="Montserrat"/>
                <w:b/>
                <w:color w:val="1A335E"/>
                <w:sz w:val="24"/>
                <w:szCs w:val="24"/>
              </w:rPr>
              <w:t>Results</w:t>
            </w:r>
          </w:p>
        </w:tc>
        <w:tc>
          <w:tcPr>
            <w:tcW w:w="3840" w:type="dxa"/>
            <w:tcBorders>
              <w:top w:val="single" w:sz="48" w:space="0" w:color="1A335E"/>
              <w:left w:val="single" w:sz="48" w:space="0" w:color="1A335E"/>
              <w:bottom w:val="single" w:sz="48" w:space="0" w:color="1A335E"/>
              <w:right w:val="single" w:sz="48" w:space="0" w:color="1A335E"/>
            </w:tcBorders>
            <w:shd w:val="clear" w:color="auto" w:fill="D9D9D9"/>
            <w:tcMar>
              <w:top w:w="0" w:type="dxa"/>
              <w:left w:w="0" w:type="dxa"/>
              <w:bottom w:w="0" w:type="dxa"/>
              <w:right w:w="0" w:type="dxa"/>
            </w:tcMar>
            <w:vAlign w:val="center"/>
          </w:tcPr>
          <w:p w:rsidR="00000544" w:rsidRDefault="00A457B7">
            <w:pPr>
              <w:widowControl w:val="0"/>
              <w:spacing w:line="240" w:lineRule="auto"/>
              <w:jc w:val="center"/>
              <w:rPr>
                <w:rFonts w:ascii="Montserrat Medium" w:eastAsia="Montserrat Medium" w:hAnsi="Montserrat Medium" w:cs="Montserrat Medium"/>
                <w:color w:val="1A335E"/>
                <w:sz w:val="20"/>
                <w:szCs w:val="20"/>
              </w:rPr>
            </w:pPr>
            <w:r>
              <w:rPr>
                <w:rFonts w:ascii="Montserrat" w:eastAsia="Montserrat" w:hAnsi="Montserrat" w:cs="Montserrat"/>
                <w:b/>
                <w:color w:val="1A335E"/>
                <w:sz w:val="24"/>
                <w:szCs w:val="24"/>
              </w:rPr>
              <w:t>Conclusion</w:t>
            </w:r>
          </w:p>
        </w:tc>
      </w:tr>
      <w:tr w:rsidR="00000544">
        <w:trPr>
          <w:trHeight w:val="6195"/>
        </w:trPr>
        <w:tc>
          <w:tcPr>
            <w:tcW w:w="3840" w:type="dxa"/>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A457B7">
            <w:pPr>
              <w:spacing w:line="240" w:lineRule="auto"/>
              <w:rPr>
                <w:sz w:val="20"/>
                <w:szCs w:val="20"/>
              </w:rPr>
            </w:pPr>
            <w:r>
              <w:rPr>
                <w:sz w:val="20"/>
                <w:szCs w:val="20"/>
              </w:rPr>
              <w:t xml:space="preserve">This study investigates the relationship between socioeconomic status and language use in Kurdish society. The Kurdish language, with its numerous dialects, is a key tool for understanding social class interactions. </w:t>
            </w:r>
          </w:p>
          <w:p w:rsidR="00000544" w:rsidRDefault="00A457B7">
            <w:pPr>
              <w:spacing w:line="240" w:lineRule="auto"/>
              <w:rPr>
                <w:sz w:val="20"/>
                <w:szCs w:val="20"/>
              </w:rPr>
            </w:pPr>
            <w:r>
              <w:rPr>
                <w:noProof/>
                <w:sz w:val="20"/>
                <w:szCs w:val="20"/>
              </w:rPr>
              <w:drawing>
                <wp:inline distT="114300" distB="114300" distL="114300" distR="114300">
                  <wp:extent cx="2343150" cy="17526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343150" cy="1752600"/>
                          </a:xfrm>
                          <a:prstGeom prst="rect">
                            <a:avLst/>
                          </a:prstGeom>
                          <a:ln/>
                        </pic:spPr>
                      </pic:pic>
                    </a:graphicData>
                  </a:graphic>
                </wp:inline>
              </w:drawing>
            </w:r>
          </w:p>
          <w:p w:rsidR="00000544" w:rsidRDefault="00A457B7">
            <w:pPr>
              <w:spacing w:line="240" w:lineRule="auto"/>
              <w:rPr>
                <w:sz w:val="20"/>
                <w:szCs w:val="20"/>
              </w:rPr>
            </w:pPr>
            <w:r>
              <w:rPr>
                <w:sz w:val="20"/>
                <w:szCs w:val="20"/>
              </w:rPr>
              <w:t>The study aims to understand how diff</w:t>
            </w:r>
            <w:r>
              <w:rPr>
                <w:sz w:val="20"/>
                <w:szCs w:val="20"/>
              </w:rPr>
              <w:t>erent Kurdish groups use their language, providing insight into Kurdish culture. The research aims to reveal the linguistic differences and cultural complexities within Kurdish society, contributing to a more diverse understanding of its layers.</w:t>
            </w:r>
          </w:p>
        </w:tc>
        <w:tc>
          <w:tcPr>
            <w:tcW w:w="3810" w:type="dxa"/>
            <w:vMerge w:val="restart"/>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A457B7">
            <w:pPr>
              <w:spacing w:line="240" w:lineRule="auto"/>
              <w:rPr>
                <w:sz w:val="20"/>
                <w:szCs w:val="20"/>
              </w:rPr>
            </w:pPr>
            <w:r>
              <w:rPr>
                <w:sz w:val="20"/>
                <w:szCs w:val="20"/>
              </w:rPr>
              <w:t>Socioeconomic Influence on Language Variation: Participants from higher socioeconomic strata, we see a trend that expression leans toward being more formal and standardized. These people tend to use a wider range of vocabulary. A university student in a sc</w:t>
            </w:r>
            <w:r>
              <w:rPr>
                <w:sz w:val="20"/>
                <w:szCs w:val="20"/>
              </w:rPr>
              <w:t xml:space="preserve">ience-based field notes the influence of their job on language use, stating, “students at university, especially those in science-based fields stress the use of correct language”. </w:t>
            </w:r>
          </w:p>
          <w:p w:rsidR="00000544" w:rsidRDefault="00A457B7">
            <w:pPr>
              <w:spacing w:line="240" w:lineRule="auto"/>
              <w:rPr>
                <w:sz w:val="20"/>
                <w:szCs w:val="20"/>
              </w:rPr>
            </w:pPr>
            <w:r>
              <w:rPr>
                <w:noProof/>
                <w:sz w:val="20"/>
                <w:szCs w:val="20"/>
              </w:rPr>
              <w:drawing>
                <wp:inline distT="114300" distB="114300" distL="114300" distR="114300">
                  <wp:extent cx="2343150" cy="1460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43150" cy="1460500"/>
                          </a:xfrm>
                          <a:prstGeom prst="rect">
                            <a:avLst/>
                          </a:prstGeom>
                          <a:ln/>
                        </pic:spPr>
                      </pic:pic>
                    </a:graphicData>
                  </a:graphic>
                </wp:inline>
              </w:drawing>
            </w:r>
          </w:p>
          <w:p w:rsidR="00000544" w:rsidRDefault="00000544">
            <w:pPr>
              <w:spacing w:line="240" w:lineRule="auto"/>
              <w:rPr>
                <w:sz w:val="20"/>
                <w:szCs w:val="20"/>
              </w:rPr>
            </w:pPr>
          </w:p>
          <w:p w:rsidR="00000544" w:rsidRDefault="00A457B7">
            <w:pPr>
              <w:spacing w:line="240" w:lineRule="auto"/>
              <w:rPr>
                <w:sz w:val="20"/>
                <w:szCs w:val="20"/>
              </w:rPr>
            </w:pPr>
            <w:r>
              <w:rPr>
                <w:sz w:val="20"/>
                <w:szCs w:val="20"/>
              </w:rPr>
              <w:t xml:space="preserve">Additionally, the same student mentions how technicians in the city use technical language like “best working temperature” and “problems starting cars when it’s cold,” highlighting the impact of workplace environments on language variations. </w:t>
            </w:r>
          </w:p>
          <w:p w:rsidR="00000544" w:rsidRDefault="00000544">
            <w:pPr>
              <w:spacing w:line="240" w:lineRule="auto"/>
              <w:rPr>
                <w:sz w:val="20"/>
                <w:szCs w:val="20"/>
              </w:rPr>
            </w:pPr>
          </w:p>
          <w:p w:rsidR="00000544" w:rsidRDefault="00A457B7">
            <w:pPr>
              <w:spacing w:line="240" w:lineRule="auto"/>
              <w:rPr>
                <w:sz w:val="20"/>
                <w:szCs w:val="20"/>
              </w:rPr>
            </w:pPr>
            <w:r>
              <w:rPr>
                <w:noProof/>
                <w:sz w:val="20"/>
                <w:szCs w:val="20"/>
              </w:rPr>
              <w:drawing>
                <wp:inline distT="114300" distB="114300" distL="114300" distR="114300">
                  <wp:extent cx="2326117" cy="155074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326117" cy="1550745"/>
                          </a:xfrm>
                          <a:prstGeom prst="rect">
                            <a:avLst/>
                          </a:prstGeom>
                          <a:ln/>
                        </pic:spPr>
                      </pic:pic>
                    </a:graphicData>
                  </a:graphic>
                </wp:inline>
              </w:drawing>
            </w:r>
          </w:p>
          <w:p w:rsidR="00000544" w:rsidRDefault="00000544">
            <w:pPr>
              <w:spacing w:line="240" w:lineRule="auto"/>
              <w:rPr>
                <w:sz w:val="20"/>
                <w:szCs w:val="20"/>
              </w:rPr>
            </w:pPr>
          </w:p>
          <w:p w:rsidR="00000544" w:rsidRDefault="00A457B7">
            <w:pPr>
              <w:spacing w:line="240" w:lineRule="auto"/>
              <w:rPr>
                <w:sz w:val="20"/>
                <w:szCs w:val="20"/>
              </w:rPr>
            </w:pPr>
            <w:r>
              <w:rPr>
                <w:sz w:val="20"/>
                <w:szCs w:val="20"/>
              </w:rPr>
              <w:t xml:space="preserve">Language </w:t>
            </w:r>
            <w:r>
              <w:rPr>
                <w:sz w:val="20"/>
                <w:szCs w:val="20"/>
              </w:rPr>
              <w:t xml:space="preserve">is more than a medium for people of higher socioeconomic classes, it indicates social status as well. </w:t>
            </w:r>
          </w:p>
          <w:p w:rsidR="00000544" w:rsidRDefault="00000544">
            <w:pPr>
              <w:widowControl w:val="0"/>
              <w:spacing w:line="216" w:lineRule="auto"/>
              <w:rPr>
                <w:rFonts w:ascii="Montserrat Medium" w:eastAsia="Montserrat Medium" w:hAnsi="Montserrat Medium" w:cs="Montserrat Medium"/>
                <w:color w:val="FFFFFF"/>
                <w:sz w:val="20"/>
                <w:szCs w:val="20"/>
              </w:rPr>
            </w:pPr>
          </w:p>
        </w:tc>
        <w:tc>
          <w:tcPr>
            <w:tcW w:w="3840" w:type="dxa"/>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A457B7">
            <w:pPr>
              <w:spacing w:line="240" w:lineRule="auto"/>
              <w:rPr>
                <w:sz w:val="20"/>
                <w:szCs w:val="20"/>
              </w:rPr>
            </w:pPr>
            <w:r>
              <w:rPr>
                <w:sz w:val="20"/>
                <w:szCs w:val="20"/>
              </w:rPr>
              <w:t>The study reveals a complex relationship between socioeconomic status and language use in Kurdish-speaking societies. Language serves as a symbol of cul</w:t>
            </w:r>
            <w:r>
              <w:rPr>
                <w:sz w:val="20"/>
                <w:szCs w:val="20"/>
              </w:rPr>
              <w:t xml:space="preserve">tural identity and social markers, with higher socioeconomic backgrounds exhibiting a deliberate language development. </w:t>
            </w:r>
          </w:p>
          <w:p w:rsidR="00000544" w:rsidRDefault="00000544">
            <w:pPr>
              <w:spacing w:line="240" w:lineRule="auto"/>
              <w:rPr>
                <w:sz w:val="20"/>
                <w:szCs w:val="20"/>
              </w:rPr>
            </w:pPr>
          </w:p>
          <w:p w:rsidR="00000544" w:rsidRDefault="00A457B7">
            <w:pPr>
              <w:spacing w:line="240" w:lineRule="auto"/>
              <w:rPr>
                <w:sz w:val="20"/>
                <w:szCs w:val="20"/>
              </w:rPr>
            </w:pPr>
            <w:r>
              <w:rPr>
                <w:noProof/>
                <w:sz w:val="20"/>
                <w:szCs w:val="20"/>
              </w:rPr>
              <w:drawing>
                <wp:inline distT="114300" distB="114300" distL="114300" distR="114300">
                  <wp:extent cx="2233613" cy="11512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0909"/>
                          <a:stretch>
                            <a:fillRect/>
                          </a:stretch>
                        </pic:blipFill>
                        <pic:spPr>
                          <a:xfrm>
                            <a:off x="0" y="0"/>
                            <a:ext cx="2233613" cy="1151245"/>
                          </a:xfrm>
                          <a:prstGeom prst="rect">
                            <a:avLst/>
                          </a:prstGeom>
                          <a:ln/>
                        </pic:spPr>
                      </pic:pic>
                    </a:graphicData>
                  </a:graphic>
                </wp:inline>
              </w:drawing>
            </w:r>
          </w:p>
          <w:p w:rsidR="00000544" w:rsidRDefault="00000544">
            <w:pPr>
              <w:spacing w:line="240" w:lineRule="auto"/>
              <w:rPr>
                <w:sz w:val="20"/>
                <w:szCs w:val="20"/>
              </w:rPr>
            </w:pPr>
          </w:p>
          <w:p w:rsidR="00000544" w:rsidRDefault="00000544">
            <w:pPr>
              <w:spacing w:line="240" w:lineRule="auto"/>
              <w:rPr>
                <w:sz w:val="20"/>
                <w:szCs w:val="20"/>
              </w:rPr>
            </w:pPr>
          </w:p>
          <w:p w:rsidR="00000544" w:rsidRDefault="00A457B7">
            <w:pPr>
              <w:spacing w:line="240" w:lineRule="auto"/>
              <w:rPr>
                <w:sz w:val="20"/>
                <w:szCs w:val="20"/>
              </w:rPr>
            </w:pPr>
            <w:r>
              <w:rPr>
                <w:sz w:val="20"/>
                <w:szCs w:val="20"/>
              </w:rPr>
              <w:t>Lower social and economic strata have a linguistic landscape influenced by cultural identity and community affiliation. Language sh</w:t>
            </w:r>
            <w:r>
              <w:rPr>
                <w:sz w:val="20"/>
                <w:szCs w:val="20"/>
              </w:rPr>
              <w:t>apes and reflects class structures, highlighting the complexity of language and social dynamics within Kurdish society. Further research is needed to understand this intricate tapestry.</w:t>
            </w:r>
          </w:p>
          <w:p w:rsidR="00000544" w:rsidRDefault="00000544">
            <w:pPr>
              <w:spacing w:line="240" w:lineRule="auto"/>
              <w:rPr>
                <w:sz w:val="20"/>
                <w:szCs w:val="20"/>
              </w:rPr>
            </w:pPr>
          </w:p>
        </w:tc>
      </w:tr>
      <w:tr w:rsidR="00000544">
        <w:trPr>
          <w:trHeight w:val="585"/>
        </w:trPr>
        <w:tc>
          <w:tcPr>
            <w:tcW w:w="3840" w:type="dxa"/>
            <w:tcBorders>
              <w:top w:val="single" w:sz="48" w:space="0" w:color="1A335E"/>
              <w:left w:val="single" w:sz="48" w:space="0" w:color="1A335E"/>
              <w:bottom w:val="single" w:sz="48" w:space="0" w:color="1A335E"/>
              <w:right w:val="single" w:sz="48" w:space="0" w:color="1A335E"/>
            </w:tcBorders>
            <w:shd w:val="clear" w:color="auto" w:fill="D9D9D9"/>
            <w:tcMar>
              <w:top w:w="0" w:type="dxa"/>
              <w:left w:w="0" w:type="dxa"/>
              <w:bottom w:w="0" w:type="dxa"/>
              <w:right w:w="0" w:type="dxa"/>
            </w:tcMar>
            <w:vAlign w:val="center"/>
          </w:tcPr>
          <w:p w:rsidR="00000544" w:rsidRDefault="00A457B7">
            <w:pPr>
              <w:widowControl w:val="0"/>
              <w:spacing w:line="240" w:lineRule="auto"/>
              <w:jc w:val="center"/>
              <w:rPr>
                <w:rFonts w:ascii="Montserrat Medium" w:eastAsia="Montserrat Medium" w:hAnsi="Montserrat Medium" w:cs="Montserrat Medium"/>
                <w:color w:val="1A335E"/>
              </w:rPr>
            </w:pPr>
            <w:r>
              <w:rPr>
                <w:rFonts w:ascii="Montserrat" w:eastAsia="Montserrat" w:hAnsi="Montserrat" w:cs="Montserrat"/>
                <w:b/>
                <w:color w:val="1A335E"/>
                <w:sz w:val="24"/>
                <w:szCs w:val="24"/>
              </w:rPr>
              <w:t>Methodology</w:t>
            </w:r>
          </w:p>
        </w:tc>
        <w:tc>
          <w:tcPr>
            <w:tcW w:w="3810" w:type="dxa"/>
            <w:vMerge/>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000544">
            <w:pPr>
              <w:widowControl w:val="0"/>
              <w:spacing w:line="240" w:lineRule="auto"/>
              <w:rPr>
                <w:rFonts w:ascii="Montserrat Medium" w:eastAsia="Montserrat Medium" w:hAnsi="Montserrat Medium" w:cs="Montserrat Medium"/>
                <w:color w:val="FFFFFF"/>
              </w:rPr>
            </w:pPr>
          </w:p>
        </w:tc>
        <w:tc>
          <w:tcPr>
            <w:tcW w:w="3840" w:type="dxa"/>
            <w:tcBorders>
              <w:top w:val="single" w:sz="48" w:space="0" w:color="1A335E"/>
              <w:left w:val="single" w:sz="48" w:space="0" w:color="1A335E"/>
              <w:bottom w:val="single" w:sz="48" w:space="0" w:color="1A335E"/>
              <w:right w:val="single" w:sz="48" w:space="0" w:color="1A335E"/>
            </w:tcBorders>
            <w:shd w:val="clear" w:color="auto" w:fill="D9D9D9"/>
            <w:tcMar>
              <w:top w:w="0" w:type="dxa"/>
              <w:left w:w="0" w:type="dxa"/>
              <w:bottom w:w="0" w:type="dxa"/>
              <w:right w:w="0" w:type="dxa"/>
            </w:tcMar>
            <w:vAlign w:val="center"/>
          </w:tcPr>
          <w:p w:rsidR="00000544" w:rsidRDefault="00A457B7">
            <w:pPr>
              <w:widowControl w:val="0"/>
              <w:spacing w:line="240" w:lineRule="auto"/>
              <w:jc w:val="center"/>
              <w:rPr>
                <w:rFonts w:ascii="Montserrat Medium" w:eastAsia="Montserrat Medium" w:hAnsi="Montserrat Medium" w:cs="Montserrat Medium"/>
                <w:color w:val="1A335E"/>
              </w:rPr>
            </w:pPr>
            <w:r>
              <w:rPr>
                <w:rFonts w:ascii="Montserrat" w:eastAsia="Montserrat" w:hAnsi="Montserrat" w:cs="Montserrat"/>
                <w:b/>
                <w:color w:val="1A335E"/>
                <w:sz w:val="24"/>
                <w:szCs w:val="24"/>
              </w:rPr>
              <w:t>Reference</w:t>
            </w:r>
          </w:p>
        </w:tc>
      </w:tr>
      <w:tr w:rsidR="00000544">
        <w:trPr>
          <w:trHeight w:val="6075"/>
        </w:trPr>
        <w:tc>
          <w:tcPr>
            <w:tcW w:w="3840" w:type="dxa"/>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A457B7">
            <w:pPr>
              <w:spacing w:line="240" w:lineRule="auto"/>
              <w:rPr>
                <w:sz w:val="20"/>
                <w:szCs w:val="20"/>
              </w:rPr>
            </w:pPr>
            <w:r>
              <w:rPr>
                <w:sz w:val="20"/>
                <w:szCs w:val="20"/>
              </w:rPr>
              <w:t xml:space="preserve">The research investigates the influence of socioeconomic groups on Kurdish language, focusing on power dynamics and subtle differences in language usage among different social classes. </w:t>
            </w:r>
          </w:p>
          <w:p w:rsidR="00000544" w:rsidRDefault="00000544">
            <w:pPr>
              <w:spacing w:line="240" w:lineRule="auto"/>
              <w:rPr>
                <w:sz w:val="20"/>
                <w:szCs w:val="20"/>
              </w:rPr>
            </w:pPr>
          </w:p>
          <w:p w:rsidR="00000544" w:rsidRDefault="00A457B7">
            <w:pPr>
              <w:spacing w:line="240" w:lineRule="auto"/>
              <w:rPr>
                <w:sz w:val="20"/>
                <w:szCs w:val="20"/>
              </w:rPr>
            </w:pPr>
            <w:r>
              <w:rPr>
                <w:sz w:val="20"/>
                <w:szCs w:val="20"/>
              </w:rPr>
              <w:t>This multidimensional study reveals the intricate relationship betwee</w:t>
            </w:r>
            <w:r>
              <w:rPr>
                <w:sz w:val="20"/>
                <w:szCs w:val="20"/>
              </w:rPr>
              <w:t>n social class and language.</w:t>
            </w:r>
          </w:p>
          <w:p w:rsidR="00000544" w:rsidRDefault="00000544">
            <w:pPr>
              <w:spacing w:line="240" w:lineRule="auto"/>
              <w:rPr>
                <w:sz w:val="20"/>
                <w:szCs w:val="20"/>
              </w:rPr>
            </w:pPr>
          </w:p>
          <w:p w:rsidR="00000544" w:rsidRDefault="00A457B7">
            <w:pPr>
              <w:spacing w:line="240" w:lineRule="auto"/>
              <w:rPr>
                <w:sz w:val="20"/>
                <w:szCs w:val="20"/>
              </w:rPr>
            </w:pPr>
            <w:r>
              <w:rPr>
                <w:sz w:val="20"/>
                <w:szCs w:val="20"/>
              </w:rPr>
              <w:t>Research Questions:</w:t>
            </w:r>
          </w:p>
          <w:p w:rsidR="00000544" w:rsidRDefault="00A457B7">
            <w:pPr>
              <w:numPr>
                <w:ilvl w:val="0"/>
                <w:numId w:val="1"/>
              </w:numPr>
              <w:spacing w:line="240" w:lineRule="auto"/>
              <w:rPr>
                <w:sz w:val="20"/>
                <w:szCs w:val="20"/>
              </w:rPr>
            </w:pPr>
            <w:r>
              <w:rPr>
                <w:sz w:val="20"/>
                <w:szCs w:val="20"/>
              </w:rPr>
              <w:t>How much do different socioeconomic groups affect how Kurdish is spoken and written?</w:t>
            </w:r>
          </w:p>
          <w:p w:rsidR="00000544" w:rsidRDefault="00A457B7">
            <w:pPr>
              <w:numPr>
                <w:ilvl w:val="0"/>
                <w:numId w:val="1"/>
              </w:numPr>
              <w:spacing w:line="240" w:lineRule="auto"/>
              <w:rPr>
                <w:sz w:val="20"/>
                <w:szCs w:val="20"/>
              </w:rPr>
            </w:pPr>
            <w:r>
              <w:rPr>
                <w:sz w:val="20"/>
                <w:szCs w:val="20"/>
              </w:rPr>
              <w:t>How do various socioeconomic groups within the Kurdish-speaking society use language differently?</w:t>
            </w:r>
          </w:p>
        </w:tc>
        <w:tc>
          <w:tcPr>
            <w:tcW w:w="3810" w:type="dxa"/>
            <w:vMerge/>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000544">
            <w:pPr>
              <w:widowControl w:val="0"/>
              <w:spacing w:line="240" w:lineRule="auto"/>
              <w:rPr>
                <w:rFonts w:ascii="Montserrat Medium" w:eastAsia="Montserrat Medium" w:hAnsi="Montserrat Medium" w:cs="Montserrat Medium"/>
                <w:color w:val="FFFFFF"/>
              </w:rPr>
            </w:pPr>
          </w:p>
        </w:tc>
        <w:tc>
          <w:tcPr>
            <w:tcW w:w="3840" w:type="dxa"/>
            <w:tcBorders>
              <w:top w:val="single" w:sz="48" w:space="0" w:color="1A335E"/>
              <w:left w:val="single" w:sz="48" w:space="0" w:color="1A335E"/>
              <w:bottom w:val="single" w:sz="48" w:space="0" w:color="1A335E"/>
              <w:right w:val="single" w:sz="48" w:space="0" w:color="1A335E"/>
            </w:tcBorders>
            <w:shd w:val="clear" w:color="auto" w:fill="FFFFFF"/>
            <w:tcMar>
              <w:top w:w="0" w:type="dxa"/>
              <w:left w:w="0" w:type="dxa"/>
              <w:bottom w:w="0" w:type="dxa"/>
              <w:right w:w="0" w:type="dxa"/>
            </w:tcMar>
          </w:tcPr>
          <w:p w:rsidR="00000544" w:rsidRDefault="00A457B7">
            <w:pPr>
              <w:spacing w:line="240" w:lineRule="auto"/>
              <w:rPr>
                <w:sz w:val="20"/>
                <w:szCs w:val="20"/>
              </w:rPr>
            </w:pPr>
            <w:proofErr w:type="spellStart"/>
            <w:r>
              <w:rPr>
                <w:sz w:val="20"/>
                <w:szCs w:val="20"/>
              </w:rPr>
              <w:t>Anonby</w:t>
            </w:r>
            <w:proofErr w:type="spellEnd"/>
            <w:r>
              <w:rPr>
                <w:sz w:val="20"/>
                <w:szCs w:val="20"/>
              </w:rPr>
              <w:t>, E. (2022). Pho</w:t>
            </w:r>
            <w:r>
              <w:rPr>
                <w:sz w:val="20"/>
                <w:szCs w:val="20"/>
              </w:rPr>
              <w:t>nological Variation in Kurdish. In Structural and Typological Variation in the Dialects of Kurdish (pp. 65-110). Cham: Springer International Publishing.</w:t>
            </w:r>
          </w:p>
          <w:p w:rsidR="00000544" w:rsidRDefault="00000544">
            <w:pPr>
              <w:spacing w:line="240" w:lineRule="auto"/>
              <w:rPr>
                <w:sz w:val="20"/>
                <w:szCs w:val="20"/>
              </w:rPr>
            </w:pPr>
          </w:p>
          <w:p w:rsidR="00000544" w:rsidRDefault="00000544">
            <w:pPr>
              <w:spacing w:line="240" w:lineRule="auto"/>
              <w:rPr>
                <w:sz w:val="20"/>
                <w:szCs w:val="20"/>
              </w:rPr>
            </w:pPr>
          </w:p>
          <w:p w:rsidR="00000544" w:rsidRDefault="00A457B7">
            <w:pPr>
              <w:spacing w:line="240" w:lineRule="auto"/>
              <w:rPr>
                <w:sz w:val="20"/>
                <w:szCs w:val="20"/>
              </w:rPr>
            </w:pPr>
            <w:r>
              <w:rPr>
                <w:sz w:val="20"/>
                <w:szCs w:val="20"/>
              </w:rPr>
              <w:t xml:space="preserve">Beaman, K. V., &amp; </w:t>
            </w:r>
            <w:proofErr w:type="spellStart"/>
            <w:r>
              <w:rPr>
                <w:sz w:val="20"/>
                <w:szCs w:val="20"/>
              </w:rPr>
              <w:t>Buchstaller</w:t>
            </w:r>
            <w:proofErr w:type="spellEnd"/>
            <w:r>
              <w:rPr>
                <w:sz w:val="20"/>
                <w:szCs w:val="20"/>
              </w:rPr>
              <w:t>, I. (Eds.). (2021). Language Variation and Language Change Across the Lifespan: Theoretical and Empirical Perspectives from Panel Studies. Routledge.</w:t>
            </w:r>
          </w:p>
          <w:p w:rsidR="00000544" w:rsidRDefault="00000544">
            <w:pPr>
              <w:spacing w:line="240" w:lineRule="auto"/>
              <w:rPr>
                <w:sz w:val="20"/>
                <w:szCs w:val="20"/>
              </w:rPr>
            </w:pPr>
          </w:p>
          <w:p w:rsidR="00000544" w:rsidRDefault="00000544">
            <w:pPr>
              <w:spacing w:line="240" w:lineRule="auto"/>
              <w:rPr>
                <w:sz w:val="20"/>
                <w:szCs w:val="20"/>
              </w:rPr>
            </w:pPr>
          </w:p>
          <w:p w:rsidR="00000544" w:rsidRDefault="00A457B7">
            <w:pPr>
              <w:spacing w:line="240" w:lineRule="auto"/>
              <w:rPr>
                <w:sz w:val="20"/>
                <w:szCs w:val="20"/>
              </w:rPr>
            </w:pPr>
            <w:proofErr w:type="spellStart"/>
            <w:r>
              <w:rPr>
                <w:sz w:val="20"/>
                <w:szCs w:val="20"/>
              </w:rPr>
              <w:t>Sheyholislami</w:t>
            </w:r>
            <w:proofErr w:type="spellEnd"/>
            <w:r>
              <w:rPr>
                <w:sz w:val="20"/>
                <w:szCs w:val="20"/>
              </w:rPr>
              <w:t xml:space="preserve">, J., &amp; </w:t>
            </w:r>
            <w:proofErr w:type="spellStart"/>
            <w:r>
              <w:rPr>
                <w:sz w:val="20"/>
                <w:szCs w:val="20"/>
              </w:rPr>
              <w:t>Surkhi</w:t>
            </w:r>
            <w:proofErr w:type="spellEnd"/>
            <w:r>
              <w:rPr>
                <w:sz w:val="20"/>
                <w:szCs w:val="20"/>
              </w:rPr>
              <w:t>, R. (2022). Lexical Variation and Semantic Chan</w:t>
            </w:r>
            <w:r>
              <w:rPr>
                <w:sz w:val="20"/>
                <w:szCs w:val="20"/>
              </w:rPr>
              <w:t>ge in Kurdish. In Structural and Typological Variation in the Dialects of Kurdish (pp. 13-63). Cham: Springer International Publishing.</w:t>
            </w:r>
          </w:p>
        </w:tc>
      </w:tr>
    </w:tbl>
    <w:p w:rsidR="00000544" w:rsidRDefault="00000544">
      <w:pPr>
        <w:rPr>
          <w:rFonts w:ascii="Montserrat Medium" w:eastAsia="Montserrat Medium" w:hAnsi="Montserrat Medium" w:cs="Montserrat Medium"/>
          <w:color w:val="FFFFFF"/>
        </w:rPr>
      </w:pPr>
    </w:p>
    <w:sectPr w:rsidR="00000544">
      <w:headerReference w:type="first" r:id="rId12"/>
      <w:footerReference w:type="first" r:id="rId13"/>
      <w:pgSz w:w="11906" w:h="16838"/>
      <w:pgMar w:top="0" w:right="720" w:bottom="0" w:left="720" w:header="0" w:footer="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7B7" w:rsidRDefault="00A457B7">
      <w:pPr>
        <w:spacing w:line="240" w:lineRule="auto"/>
      </w:pPr>
      <w:r>
        <w:separator/>
      </w:r>
    </w:p>
  </w:endnote>
  <w:endnote w:type="continuationSeparator" w:id="0">
    <w:p w:rsidR="00A457B7" w:rsidRDefault="00A45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default"/>
  </w:font>
  <w:font w:name="Bebas Neue">
    <w:charset w:val="00"/>
    <w:family w:val="auto"/>
    <w:pitch w:val="default"/>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544" w:rsidRDefault="00000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7B7" w:rsidRDefault="00A457B7">
      <w:pPr>
        <w:spacing w:line="240" w:lineRule="auto"/>
      </w:pPr>
      <w:r>
        <w:separator/>
      </w:r>
    </w:p>
  </w:footnote>
  <w:footnote w:type="continuationSeparator" w:id="0">
    <w:p w:rsidR="00A457B7" w:rsidRDefault="00A457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544" w:rsidRDefault="000005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2B03"/>
    <w:multiLevelType w:val="multilevel"/>
    <w:tmpl w:val="854AE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44"/>
    <w:rsid w:val="00000544"/>
    <w:rsid w:val="006F6C46"/>
    <w:rsid w:val="00A45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3F7F5-CFA7-41C1-A3ED-01000941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BAHAST</cp:lastModifiedBy>
  <cp:revision>2</cp:revision>
  <dcterms:created xsi:type="dcterms:W3CDTF">2024-10-23T07:40:00Z</dcterms:created>
  <dcterms:modified xsi:type="dcterms:W3CDTF">2024-10-23T07:41:00Z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911775</vt:lpwstr>
  </property>
  <property fmtid="{D5CDD505-2E9C-101B-9397-08002B2CF9AE}" pid="3" name="NXPowerLiteSettings">
    <vt:lpwstr>C7000400038000</vt:lpwstr>
  </property>
  <property fmtid="{D5CDD505-2E9C-101B-9397-08002B2CF9AE}" pid="4" name="NXPowerLiteVersion">
    <vt:lpwstr>S10.3.0</vt:lpwstr>
  </property>
</Properties>
</file>